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7A1" w:rsidRPr="00280B0C" w:rsidRDefault="00D06D10" w:rsidP="008C57A1">
      <w:pPr>
        <w:widowControl w:val="0"/>
        <w:contextualSpacing/>
        <w:jc w:val="left"/>
        <w:rPr>
          <w:rFonts w:ascii="Arial" w:eastAsia="Times New Roman" w:hAnsi="Arial" w:cs="Arial"/>
          <w:color w:val="000000"/>
          <w:sz w:val="10"/>
          <w:szCs w:val="10"/>
        </w:rPr>
      </w:pPr>
      <w:r w:rsidRPr="00BF3F3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73DBB436" wp14:editId="4E9D6A36">
            <wp:simplePos x="0" y="0"/>
            <wp:positionH relativeFrom="column">
              <wp:posOffset>2231390</wp:posOffset>
            </wp:positionH>
            <wp:positionV relativeFrom="paragraph">
              <wp:posOffset>35398</wp:posOffset>
            </wp:positionV>
            <wp:extent cx="1661160" cy="539750"/>
            <wp:effectExtent l="0" t="0" r="0" b="0"/>
            <wp:wrapNone/>
            <wp:docPr id="5" name="Рисунок 5" descr="C:\Users\portyanaya_vg\Desktop\1_Филиал ПЭ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ortyanaya_vg\Desktop\1_Филиал ПЭС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8F7" w:rsidRPr="00B35131" w:rsidRDefault="00E628F7" w:rsidP="00E628F7">
      <w:pPr>
        <w:widowControl w:val="0"/>
        <w:contextualSpacing/>
        <w:jc w:val="center"/>
        <w:outlineLvl w:val="0"/>
        <w:rPr>
          <w:rFonts w:ascii="Arial" w:eastAsia="Times New Roman" w:hAnsi="Arial" w:cs="Arial"/>
          <w:bCs/>
          <w:sz w:val="30"/>
          <w:szCs w:val="30"/>
        </w:rPr>
      </w:pPr>
    </w:p>
    <w:p w:rsidR="00E628F7" w:rsidRPr="00280B0C" w:rsidRDefault="00E628F7" w:rsidP="00E628F7">
      <w:pPr>
        <w:widowControl w:val="0"/>
        <w:contextualSpacing/>
        <w:jc w:val="center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:rsidR="00E628F7" w:rsidRPr="00280B0C" w:rsidRDefault="00E628F7" w:rsidP="00E628F7">
      <w:pPr>
        <w:widowControl w:val="0"/>
        <w:contextualSpacing/>
        <w:jc w:val="center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:rsidR="00E628F7" w:rsidRPr="00081D3F" w:rsidRDefault="00E628F7" w:rsidP="00E628F7">
      <w:pPr>
        <w:widowControl w:val="0"/>
        <w:jc w:val="center"/>
        <w:outlineLvl w:val="0"/>
        <w:rPr>
          <w:rFonts w:ascii="Arial" w:eastAsia="Times New Roman" w:hAnsi="Arial" w:cs="Arial"/>
          <w:b/>
          <w:bCs/>
          <w:sz w:val="10"/>
          <w:szCs w:val="1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DA4ADA" w:rsidRPr="00DA4ADA" w:rsidTr="00610512">
        <w:tc>
          <w:tcPr>
            <w:tcW w:w="10173" w:type="dxa"/>
          </w:tcPr>
          <w:p w:rsidR="00965140" w:rsidRDefault="00965140" w:rsidP="00965140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87B21">
              <w:rPr>
                <w:rFonts w:ascii="Arial" w:hAnsi="Arial" w:cs="Arial"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кционерное общество</w:t>
            </w:r>
            <w:r w:rsidRPr="00887B21">
              <w:rPr>
                <w:rFonts w:ascii="Arial" w:hAnsi="Arial" w:cs="Arial"/>
                <w:bCs/>
                <w:sz w:val="18"/>
                <w:szCs w:val="18"/>
              </w:rPr>
              <w:t xml:space="preserve"> «Дальневосточная распределительная сетевая компания»</w:t>
            </w:r>
          </w:p>
          <w:p w:rsidR="00965140" w:rsidRPr="00F539F7" w:rsidRDefault="00965140" w:rsidP="00965140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6"/>
                <w:szCs w:val="6"/>
              </w:rPr>
            </w:pPr>
          </w:p>
          <w:p w:rsidR="00AC320B" w:rsidRPr="00DA4ADA" w:rsidRDefault="00965140" w:rsidP="0096514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ФИЛИАЛ «ПРИМОРСКИЕ ЭЛЕКТРИЧЕСКИЕ СЕТИ»</w:t>
            </w:r>
          </w:p>
        </w:tc>
      </w:tr>
      <w:tr w:rsidR="00DA4ADA" w:rsidRPr="00DA4ADA" w:rsidTr="00610512">
        <w:trPr>
          <w:trHeight w:val="227"/>
        </w:trPr>
        <w:tc>
          <w:tcPr>
            <w:tcW w:w="10173" w:type="dxa"/>
            <w:vAlign w:val="center"/>
          </w:tcPr>
          <w:p w:rsidR="00DA4ADA" w:rsidRPr="00AC320B" w:rsidRDefault="00AC320B" w:rsidP="005C5476">
            <w:pPr>
              <w:widowControl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504">
              <w:rPr>
                <w:rFonts w:ascii="Arial" w:hAnsi="Arial" w:cs="Arial"/>
                <w:sz w:val="18"/>
                <w:szCs w:val="18"/>
              </w:rPr>
              <w:t xml:space="preserve">ул. </w:t>
            </w:r>
            <w:r>
              <w:rPr>
                <w:rFonts w:ascii="Arial" w:hAnsi="Arial" w:cs="Arial"/>
                <w:sz w:val="18"/>
                <w:szCs w:val="18"/>
              </w:rPr>
              <w:t>Командорская, 13</w:t>
            </w:r>
            <w:r w:rsidR="00A64ED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AC2504">
              <w:rPr>
                <w:rFonts w:ascii="Arial" w:hAnsi="Arial" w:cs="Arial"/>
                <w:sz w:val="18"/>
                <w:szCs w:val="18"/>
              </w:rPr>
              <w:t xml:space="preserve">, г. </w:t>
            </w:r>
            <w:r>
              <w:rPr>
                <w:rFonts w:ascii="Arial" w:hAnsi="Arial" w:cs="Arial"/>
                <w:sz w:val="18"/>
                <w:szCs w:val="18"/>
              </w:rPr>
              <w:t>Владивосток</w:t>
            </w:r>
            <w:r w:rsidRPr="00AC2504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Приморский край</w:t>
            </w:r>
            <w:r w:rsidRPr="00AC2504">
              <w:rPr>
                <w:rFonts w:ascii="Arial" w:hAnsi="Arial" w:cs="Arial"/>
                <w:sz w:val="18"/>
                <w:szCs w:val="18"/>
              </w:rPr>
              <w:t>, Российская Федерация, 6</w:t>
            </w:r>
            <w:r>
              <w:rPr>
                <w:rFonts w:ascii="Arial" w:hAnsi="Arial" w:cs="Arial"/>
                <w:sz w:val="18"/>
                <w:szCs w:val="18"/>
              </w:rPr>
              <w:t>90080</w:t>
            </w:r>
          </w:p>
        </w:tc>
      </w:tr>
      <w:tr w:rsidR="00DA4ADA" w:rsidTr="00610512">
        <w:trPr>
          <w:trHeight w:val="227"/>
        </w:trPr>
        <w:tc>
          <w:tcPr>
            <w:tcW w:w="10173" w:type="dxa"/>
            <w:vAlign w:val="center"/>
          </w:tcPr>
          <w:p w:rsidR="00DA4ADA" w:rsidRPr="00DA4ADA" w:rsidRDefault="00E30B06" w:rsidP="00DA4ADA">
            <w:pPr>
              <w:widowControl w:val="0"/>
              <w:jc w:val="center"/>
              <w:rPr>
                <w:rStyle w:val="a6"/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48448B" w:rsidRPr="009053C1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doc</w:t>
              </w:r>
              <w:r w:rsidR="0048448B" w:rsidRPr="009053C1">
                <w:rPr>
                  <w:rStyle w:val="a6"/>
                  <w:rFonts w:ascii="Arial" w:eastAsia="Times New Roman" w:hAnsi="Arial" w:cs="Arial"/>
                  <w:sz w:val="18"/>
                  <w:szCs w:val="18"/>
                </w:rPr>
                <w:t>@</w:t>
              </w:r>
              <w:r w:rsidR="0048448B" w:rsidRPr="009053C1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prim</w:t>
              </w:r>
              <w:r w:rsidR="0048448B" w:rsidRPr="0048448B">
                <w:rPr>
                  <w:rStyle w:val="a6"/>
                  <w:rFonts w:ascii="Arial" w:eastAsia="Times New Roman" w:hAnsi="Arial" w:cs="Arial"/>
                  <w:sz w:val="18"/>
                  <w:szCs w:val="18"/>
                </w:rPr>
                <w:t>.</w:t>
              </w:r>
              <w:r w:rsidR="0048448B" w:rsidRPr="009053C1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drsk</w:t>
              </w:r>
              <w:r w:rsidR="0048448B" w:rsidRPr="009053C1">
                <w:rPr>
                  <w:rStyle w:val="a6"/>
                  <w:rFonts w:ascii="Arial" w:eastAsia="Times New Roman" w:hAnsi="Arial" w:cs="Arial"/>
                  <w:sz w:val="18"/>
                  <w:szCs w:val="18"/>
                </w:rPr>
                <w:t>.</w:t>
              </w:r>
              <w:r w:rsidR="0048448B" w:rsidRPr="009053C1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ru</w:t>
              </w:r>
            </w:hyperlink>
            <w:r w:rsidR="00DA4ADA" w:rsidRPr="00DA4ADA">
              <w:rPr>
                <w:rStyle w:val="a6"/>
                <w:rFonts w:ascii="Arial" w:eastAsia="Times New Roman" w:hAnsi="Arial" w:cs="Arial"/>
                <w:sz w:val="18"/>
                <w:szCs w:val="18"/>
              </w:rPr>
              <w:t xml:space="preserve">; </w:t>
            </w:r>
            <w:hyperlink r:id="rId9" w:history="1">
              <w:r w:rsidR="00DA4ADA" w:rsidRPr="00DA4ADA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www</w:t>
              </w:r>
              <w:r w:rsidR="00DA4ADA" w:rsidRPr="00DA4ADA">
                <w:rPr>
                  <w:rStyle w:val="a6"/>
                  <w:rFonts w:ascii="Arial" w:eastAsia="Times New Roman" w:hAnsi="Arial" w:cs="Arial"/>
                  <w:sz w:val="18"/>
                  <w:szCs w:val="18"/>
                </w:rPr>
                <w:t>.</w:t>
              </w:r>
              <w:r w:rsidR="00DA4ADA" w:rsidRPr="00DA4ADA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drsk</w:t>
              </w:r>
              <w:r w:rsidR="00DA4ADA" w:rsidRPr="00DA4ADA">
                <w:rPr>
                  <w:rStyle w:val="a6"/>
                  <w:rFonts w:ascii="Arial" w:eastAsia="Times New Roman" w:hAnsi="Arial" w:cs="Arial"/>
                  <w:sz w:val="18"/>
                  <w:szCs w:val="18"/>
                </w:rPr>
                <w:t>.</w:t>
              </w:r>
              <w:r w:rsidR="00DA4ADA" w:rsidRPr="00DA4ADA">
                <w:rPr>
                  <w:rStyle w:val="a6"/>
                  <w:rFonts w:ascii="Arial" w:eastAsia="Times New Roman" w:hAnsi="Arial" w:cs="Arial"/>
                  <w:sz w:val="18"/>
                  <w:szCs w:val="18"/>
                  <w:lang w:val="en-US"/>
                </w:rPr>
                <w:t>ru</w:t>
              </w:r>
            </w:hyperlink>
          </w:p>
        </w:tc>
      </w:tr>
    </w:tbl>
    <w:p w:rsidR="00C22786" w:rsidRPr="00F30EFB" w:rsidRDefault="00C22786" w:rsidP="001B310A">
      <w:pPr>
        <w:widowControl w:val="0"/>
        <w:spacing w:before="120"/>
        <w:rPr>
          <w:rStyle w:val="a6"/>
          <w:rFonts w:eastAsia="Times New Roman"/>
          <w:u w:val="none"/>
        </w:rPr>
      </w:pPr>
    </w:p>
    <w:p w:rsidR="00882AB4" w:rsidRPr="0070241A" w:rsidRDefault="00882AB4" w:rsidP="00882AB4">
      <w:pPr>
        <w:spacing w:line="240" w:lineRule="exact"/>
        <w:jc w:val="center"/>
        <w:rPr>
          <w:b/>
        </w:rPr>
      </w:pPr>
      <w:r w:rsidRPr="0070241A">
        <w:rPr>
          <w:b/>
        </w:rPr>
        <w:t xml:space="preserve">ТЕХНИЧЕСКОЕ </w:t>
      </w:r>
      <w:r>
        <w:rPr>
          <w:b/>
        </w:rPr>
        <w:t>ТРЕБОВАНИЕ</w:t>
      </w:r>
    </w:p>
    <w:p w:rsidR="00882AB4" w:rsidRPr="0021205E" w:rsidRDefault="00882AB4" w:rsidP="00882AB4">
      <w:pPr>
        <w:jc w:val="center"/>
        <w:rPr>
          <w:b/>
        </w:rPr>
      </w:pPr>
      <w:r w:rsidRPr="0021205E">
        <w:rPr>
          <w:b/>
        </w:rPr>
        <w:t>НА УСТАНОВКУ СИСТЕМЫ МОНИТОРИНГА АВТОТРАНСПОРТА И УЧЕТА ТОПЛИВА АВТОТРАКТОРНОГО ПАРКА ПЭС</w:t>
      </w:r>
    </w:p>
    <w:p w:rsidR="00882AB4" w:rsidRPr="0021205E" w:rsidRDefault="00882AB4" w:rsidP="00882AB4"/>
    <w:p w:rsidR="00882AB4" w:rsidRPr="0021205E" w:rsidRDefault="00882AB4" w:rsidP="00882AB4">
      <w:pPr>
        <w:numPr>
          <w:ilvl w:val="0"/>
          <w:numId w:val="1"/>
        </w:numPr>
        <w:suppressAutoHyphens/>
        <w:ind w:left="426"/>
      </w:pPr>
      <w:r w:rsidRPr="0021205E">
        <w:rPr>
          <w:b/>
          <w:color w:val="000000"/>
        </w:rPr>
        <w:t>Наименование работ</w:t>
      </w:r>
      <w:r w:rsidRPr="0021205E">
        <w:t>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rPr>
          <w:kern w:val="16"/>
        </w:rPr>
        <w:t xml:space="preserve">установка и настройка модуля мониторинга </w:t>
      </w:r>
      <w:r w:rsidRPr="0021205E">
        <w:rPr>
          <w:kern w:val="16"/>
          <w:lang w:val="en-US"/>
        </w:rPr>
        <w:t>GPS</w:t>
      </w:r>
      <w:r w:rsidRPr="0021205E">
        <w:rPr>
          <w:kern w:val="16"/>
        </w:rPr>
        <w:t>/ГЛОНАСС/</w:t>
      </w:r>
      <w:r w:rsidRPr="0021205E">
        <w:rPr>
          <w:kern w:val="16"/>
          <w:lang w:val="en-US"/>
        </w:rPr>
        <w:t>GSM</w:t>
      </w:r>
      <w:r w:rsidRPr="0021205E">
        <w:rPr>
          <w:kern w:val="16"/>
        </w:rPr>
        <w:t xml:space="preserve"> МТ-</w:t>
      </w:r>
      <w:r w:rsidR="0095252E">
        <w:rPr>
          <w:kern w:val="16"/>
        </w:rPr>
        <w:t>8хх</w:t>
      </w:r>
      <w:r w:rsidRPr="0021205E">
        <w:rPr>
          <w:kern w:val="16"/>
        </w:rPr>
        <w:t xml:space="preserve"> (</w:t>
      </w:r>
      <w:r w:rsidRPr="0021205E">
        <w:rPr>
          <w:kern w:val="16"/>
          <w:lang w:val="en-US"/>
        </w:rPr>
        <w:t>ENT</w:t>
      </w:r>
      <w:r w:rsidRPr="0021205E">
        <w:rPr>
          <w:kern w:val="16"/>
        </w:rPr>
        <w:t xml:space="preserve">, </w:t>
      </w:r>
      <w:r w:rsidR="0095252E">
        <w:rPr>
          <w:kern w:val="16"/>
          <w:lang w:val="en-US"/>
        </w:rPr>
        <w:t>LITE</w:t>
      </w:r>
      <w:r w:rsidR="0095252E" w:rsidRPr="0095252E">
        <w:rPr>
          <w:kern w:val="16"/>
        </w:rPr>
        <w:t xml:space="preserve">, </w:t>
      </w:r>
      <w:r w:rsidRPr="0021205E">
        <w:rPr>
          <w:kern w:val="16"/>
          <w:lang w:val="en-US"/>
        </w:rPr>
        <w:t>ATOL</w:t>
      </w:r>
      <w:r w:rsidRPr="0021205E">
        <w:rPr>
          <w:kern w:val="16"/>
        </w:rPr>
        <w:t xml:space="preserve">), установка и калибровка датчика уровня топлива, опломбирование и ввод в эксплуатацию системы </w:t>
      </w:r>
      <w:r w:rsidR="00173022">
        <w:t>мониторинга</w:t>
      </w:r>
      <w:r w:rsidRPr="0021205E">
        <w:rPr>
          <w:kern w:val="16"/>
        </w:rPr>
        <w:t xml:space="preserve"> на транспортные средства филиала АО «ДРСК» «Приморские электрические сети».</w:t>
      </w:r>
    </w:p>
    <w:p w:rsidR="00882AB4" w:rsidRPr="0021205E" w:rsidRDefault="00882AB4" w:rsidP="00882AB4">
      <w:pPr>
        <w:numPr>
          <w:ilvl w:val="0"/>
          <w:numId w:val="1"/>
        </w:numPr>
        <w:suppressAutoHyphens/>
        <w:ind w:left="426"/>
      </w:pPr>
      <w:r w:rsidRPr="0021205E">
        <w:rPr>
          <w:b/>
        </w:rPr>
        <w:t>Основание для заключения договора: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инвестиционная программа филиала АО «ДРСК» «</w:t>
      </w:r>
      <w:r w:rsidRPr="0021205E">
        <w:rPr>
          <w:kern w:val="16"/>
        </w:rPr>
        <w:t>Приморские электрические сети</w:t>
      </w:r>
      <w:r w:rsidRPr="0021205E">
        <w:t>» на 202</w:t>
      </w:r>
      <w:r w:rsidR="00C43168">
        <w:t>2</w:t>
      </w:r>
      <w:r w:rsidRPr="0021205E">
        <w:t xml:space="preserve"> год.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</w:pPr>
      <w:r w:rsidRPr="0021205E">
        <w:rPr>
          <w:b/>
        </w:rPr>
        <w:t>Требования к выполнению работ: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установку и настройку модулей мониторинга и </w:t>
      </w:r>
      <w:r w:rsidRPr="0021205E">
        <w:rPr>
          <w:kern w:val="16"/>
        </w:rPr>
        <w:t>датчиков уровня топлива</w:t>
      </w:r>
      <w:r w:rsidRPr="0021205E">
        <w:t xml:space="preserve"> на транспортные средства произвести в соответствии с инструкциями по установке используемого оборудования;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выполнение работ произвести из материалов Подрядчика, его силами и техническими средствами;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Подрядчик должен использовать в работе только новые материалы;</w:t>
      </w:r>
    </w:p>
    <w:p w:rsidR="00882AB4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выполнение работ по оснащению автотранспорта системой мониторинга с выездом по месту нахождения транспортных средств филиала АО «ДРСК» «Приморские электрические сети».</w:t>
      </w:r>
    </w:p>
    <w:p w:rsidR="00882AB4" w:rsidRPr="0021205E" w:rsidRDefault="00AF59A7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>
        <w:t xml:space="preserve">организация </w:t>
      </w:r>
      <w:r w:rsidR="00882AB4">
        <w:t>хранения информации на сервере подрядчика с возможность доступа к ней в круглосуточном режиме с любого компьютера без необходимости установки дополнительного ПО.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>Объем работ: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модуль мониторинга GPS/ГЛОНАСС/GSM МТ-</w:t>
      </w:r>
      <w:r w:rsidR="0095252E">
        <w:t>8хх</w:t>
      </w:r>
      <w:r w:rsidRPr="0021205E">
        <w:t xml:space="preserve"> (ENT, </w:t>
      </w:r>
      <w:r w:rsidR="0095252E">
        <w:rPr>
          <w:kern w:val="16"/>
          <w:lang w:val="en-US"/>
        </w:rPr>
        <w:t>LITE</w:t>
      </w:r>
      <w:r w:rsidR="0095252E" w:rsidRPr="0095252E">
        <w:rPr>
          <w:kern w:val="16"/>
        </w:rPr>
        <w:t>,</w:t>
      </w:r>
      <w:r w:rsidR="0095252E" w:rsidRPr="0021205E">
        <w:t xml:space="preserve"> </w:t>
      </w:r>
      <w:r w:rsidRPr="0021205E">
        <w:t xml:space="preserve">ATOL), шт. – </w:t>
      </w:r>
      <w:r w:rsidR="005D5996">
        <w:t>58</w:t>
      </w:r>
      <w:r w:rsidRPr="0021205E">
        <w:t>;</w:t>
      </w:r>
    </w:p>
    <w:p w:rsidR="00C43168" w:rsidRDefault="00882AB4" w:rsidP="00C43168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датчик уровня топлива, </w:t>
      </w:r>
      <w:r>
        <w:t>ед</w:t>
      </w:r>
      <w:r w:rsidRPr="0021205E">
        <w:t xml:space="preserve">. – </w:t>
      </w:r>
      <w:r w:rsidR="005D5996">
        <w:t>68</w:t>
      </w:r>
      <w:r w:rsidR="00C43168" w:rsidRPr="00C43168">
        <w:t xml:space="preserve"> </w:t>
      </w:r>
    </w:p>
    <w:p w:rsidR="00331832" w:rsidRDefault="00331832" w:rsidP="00C43168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лицензия </w:t>
      </w:r>
      <w:r w:rsidRPr="0021205E">
        <w:t>на ПО «СКАУТ-Платформа. Стандартные терминалы»</w:t>
      </w:r>
      <w:r>
        <w:t>,</w:t>
      </w:r>
      <w:r w:rsidRPr="00331832">
        <w:t xml:space="preserve"> </w:t>
      </w:r>
      <w:r w:rsidRPr="0021205E">
        <w:t xml:space="preserve">шт. – </w:t>
      </w:r>
      <w:r>
        <w:t>58</w:t>
      </w:r>
      <w:r w:rsidRPr="0021205E">
        <w:t>;</w:t>
      </w:r>
    </w:p>
    <w:p w:rsidR="00882AB4" w:rsidRPr="0021205E" w:rsidRDefault="00C43168" w:rsidP="00C43168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bookmarkStart w:id="0" w:name="_GoBack"/>
      <w:r>
        <w:t xml:space="preserve">годовое </w:t>
      </w:r>
      <w:r w:rsidRPr="00C43168">
        <w:t>абонентское обслуживание объекта на сервере СКАУТ365</w:t>
      </w:r>
      <w:bookmarkEnd w:id="0"/>
      <w:r w:rsidRPr="0021205E">
        <w:t xml:space="preserve">, </w:t>
      </w:r>
      <w:r>
        <w:t>ед</w:t>
      </w:r>
      <w:r w:rsidRPr="0021205E">
        <w:t xml:space="preserve">. – </w:t>
      </w:r>
      <w:r>
        <w:t>3</w:t>
      </w:r>
      <w:r w:rsidR="005D5996">
        <w:t>2</w:t>
      </w:r>
      <w:r w:rsidR="006B3460">
        <w:t>3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>Назначение системы мониторинга автотранспорта и учета топлива: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обеспечение некорректируемой регистрации информации о скорости, маршруте движения, заправках и расходе топлива транспортных средств;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исключение несанкционированного использования транспортных средств;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  <w:rPr>
          <w:kern w:val="16"/>
        </w:rPr>
      </w:pPr>
      <w:r w:rsidRPr="0021205E">
        <w:t>для объективной оценки профессиональных качеств водителей на основании</w:t>
      </w:r>
      <w:r w:rsidRPr="0021205E">
        <w:rPr>
          <w:kern w:val="16"/>
        </w:rPr>
        <w:t xml:space="preserve"> информационных данных, полученных с модулей мониторинга.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>Требования к GPS/ГЛОНАСС/GSM терминалам и их характеристикам: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 В состав модуля мониторинга подвижных объектов должны входить следующие внешние компоненты: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ГЛОНАСС/GPS/GSM терминал;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ГЛОНАСС/GPS антенна на магнитном основании;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lastRenderedPageBreak/>
        <w:t>GSM антенна на клеевом основании;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ответная часть разъема с проводами длиной 1 метр;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паспорт терминала.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Использование в составе терминала не менее чем 20-ти канального навигационного ГЛОНАСС/GPS приемника.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Минимальное рабочее напряжение питания терминала должно быть не более 9 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Максимальное рабочее напряжение питания терминала должно быть не менее 36 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Устойчивость к электромагнитным помехам до +/-200 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Возможность осуществлять исходящие и принимать входящие голосовые вызовы, используя встроенный модем стандарта GSM при подключении комплекта громкой связи.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Наличие встроенной энергонезависимой памяти для хранения истории перемещения и состояния всех подключенных датчиков в режиме «черного ящика» на случай длительной работы транспортных средств вне зоны GSM сетей (до двух месяцев).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Возможность удаленно менять настройки мобильного терминала через SMS или GPRS-канал для минимизации сервисных выездов в случаях сбоя работы оборудования.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Модуль мониторинга должен содержать встроенный бесконтактный датчик открытия крышки корпуса (для удаленного выявления саботажей).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Терминал должен обеспечивать измерение напряжения внешнего питания.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Для обеспечения точного подсчета пробега и фильтрации случайных выбросов показаний навигационного ГЛОНАСС/GPS приемника, терминал должен иметь встроенный датчик движения (акселерометр) для измерения интенсивности торможения и ускорения.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Модуль мониторинга должен включать в своем составе интеллектуальный датчик стиля вождения на базе цифрового акселерометра и GNSS приемника, позволяющий определять манеру вождения по следующим параметрам: 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скорость движения, в том числе точное место и время начала и окончания превышения каждого из трех заданных скоростных порогов, с точностью 0,1 км/ч;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резкие торможения, ускорения, боковые ускорения (вхождения в левый и правый поворот на скорости), превышающие соответствующие пороги, заданные в тысячных долях G.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Модуль мониторинга должен включать в своем составе устройство мгновенной обратной связи для водителя о нарушении установленных в интеллектуальном датчике стиля вождения параметров. Модуль мониторинга должен позволять удаленно по каналу GPRS включить/выключить устройство обратной связи.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Показания интеллектуального датчика стиля вождения, входящего в состав модуля мониторинга, включая место, время и тип нарушения установленных параметров, должны передаваться на авторизованный сервер по каналу GPRS для последующего составления аналитических отчетов. Встроенная в модуль мониторинга энергонезависимая память должна обеспечивать хранение телеметрической информации за последние 2 месяца работы оборудования.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Модуль мониторинга должен позволять подключать дополнительные внешние датчики (не менее 6-ти) и обеспечивать мониторинг состояния транспортного средства, в том числе: 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местоположение (широта и долгота, ошибка не более 10-ти метров);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пробег (км); 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скорость движения (км/ч);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время, место и продолжительность стоянок (с точностью до секунд);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место, время и объем заправок (при подключении датчика уровня топлива);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моточасы и повышенные обороты двигателя (при подключении датчика оборотов двигателя ТС).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lastRenderedPageBreak/>
        <w:t>Для обеспечения высокой степени защиты от несанкционированного перехвата передаваемой телеметрической информации по каналам GSM/GPRS с использованием протокола TCP/IP в направлении от терминала к серверу и обратно, терминал должен иметь возможность использовать функцию шифрования трафика с применением алгоритма шифрования АЕS128 или аналогичного.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Степень защиты терминала не менее IP54.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Требования по эксплуатации и техническому обслуживанию: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поставляемое оборудование должно иметь комплект технической документации на русском языке и обеспечивать возможность обслуживания силами технических специалистов Заказчика;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техническая поддержка пользователей диспетчерского ПО, серверного ПО и ГЛОНАСС/GPS/GSM терминала должна осуществляться посредством регистрации пользователей и любых других сотрудников Заказчика на специальном Интернет-Портале, предоставленном разработчиком и правообладателем Программного Обеспечения и/или разработчиком и производителем терминала. Техническая поддержка должна осуществляться через систему заявок в «личном кабинете» Заказчика с применением различных статусов (новая, в работе, отложена, закрыта и т.д.) с возможностью просматривать только заявки всех сотрудников Заказчика, наличия автоматического уведомления об ответах на электронную почту всех сотрудников Заказчика, возможностью прикрепить файлы к заявке;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исполнитель обязан обеспечить обучение технического персонала Заказчика до уровня, достаточного для полного контроля над работой оборудования и программного обеспечения в процессе его эксплуатации.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>Требования к программному обеспечению: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Диспетчерское рабочее место работает по технологии «тонкий клиент».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Общие требования к программному обеспечению: 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WEB доступ к интерфейсу системы для пользователей, с ограничением прав доступа (по районам и по возможности редактирования) и автоматическим отключением сессии пользователя при входе в систему с тем же логином с другого компьютера;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ведение статистики использования системы пользователями с возможностью запросить отчет;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возможность </w:t>
      </w:r>
      <w:r>
        <w:t>передачи данных о пробеге ТС, количестве заправленного и израсходованного топлива в стороннее ПО для интеграции с 1С:Управление автотранспортом</w:t>
      </w:r>
      <w:r w:rsidRPr="0021205E">
        <w:t>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наличие русскоязычной и англоязычной локализации (выбирается пользователем при входе в систему).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Программное обеспечение должно иметь возможность отображения в режиме реального времени следующих данных о параметрах работы контролируемого объекта: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последнего приема данных с терминала (подключения к серверу);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последнего определения местоположения терминала;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текущая скорость;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текущий тип питания прибора (основное или резервное);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текущее состояние зажигания транспортного средства;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количество используемых спутников для определения местоположения;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текущие данные с подключенных к терминалу дополнительных датчиков;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номер терминала;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адрес местонахождения транспортного средства (по адресным базам);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номер установленной в терминал SIM-карты.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Программное обеспечение должно иметь возможность отображения следующих данных о параметрах работы контролируемого транспорта: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lastRenderedPageBreak/>
        <w:t>время в движении;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пробег;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работы двигателя;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работы на холостом ходу;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работы дополнительного потребителя топлива;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начала работы транспортного средства (по началу первого движения);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окончания работы транспортного средства (по окончанию последнего движения);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продолжительность стоянок;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средняя скорость движения;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максимальная скорость движения;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расчетный расход топлива (по нормам расхода на 100 км в движении и на час работы на холостом ходу);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фактический расход топлива (по датчику уровня топлива);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время нахождения в определенной зоне, время входа и выхода из определенной зоны;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количество заправок и их объем;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количество сливов и их объем.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Наличие планировщика отчетов: можно запланировать/заказать автоматическую (по расписанию)/разовую рассылку отчетов в формате .pdf на адрес электронной почты сотрудника.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Возможность мониторинга на карте превышений скоростных режимов транспортным средством: цвет линии трека изменяется в соответствии со скоростью движения транспортного средства.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Возможность создания и использования диспетчером своих индивидуальных шаблонов отчетов, которые содержат информацию о настройках отчета, используемых полях в отчете и используемых геозонах, если они необходимы (для минимизации времени настройки отчета под конкретные задачи).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Возможность просмотра и редактирования свойств транспортных средств: название, гос. номер, гаражный номер, владелец, часовой пояс работы техники, модель транспортного средства, марка, VIN номер, регистрация, год выпуска, цвет, мощность двигателя.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Возможность формирования пользовательских групп объектов мониторинга. Возможность отображения на карте текущего положения объектов только из выбранной группы объектов.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отображения на карте только выбранного транспортного средства.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отображения на карте только определенной группы транспортных средств.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скрытия с карты всех транспортных средств.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сохранения формируемых отчётов в следующих форматах: pdf, doc, xls, jpg, dbf.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Наличие инструментов по визуальному отображению движения </w:t>
      </w:r>
      <w:r w:rsidRPr="0021205E">
        <w:t xml:space="preserve">транспортного средства </w:t>
      </w:r>
      <w:r w:rsidRPr="0021205E">
        <w:rPr>
          <w:color w:val="1F1F1F"/>
          <w:kern w:val="16"/>
        </w:rPr>
        <w:t>за прошедший промежуток времени (построение трека).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Наличие инструментов по визуальному отображению состояний датчиков (подключенного оборудования) </w:t>
      </w:r>
      <w:r w:rsidRPr="0021205E">
        <w:t xml:space="preserve">транспортного средства </w:t>
      </w:r>
      <w:r w:rsidRPr="0021205E">
        <w:rPr>
          <w:color w:val="1F1F1F"/>
          <w:kern w:val="16"/>
        </w:rPr>
        <w:t>за прошедший промежуток времени (инструмент построения графиков).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Поддержка Интернет-карт с кэшированием: Google, OpenStreetMap, Yahoo, Bing, Яндекс (в том числе Яндекс-пробки), Mail.ru, 2ГИС.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Наличие веб-приложения, адаптированного для мобильных устройств.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lastRenderedPageBreak/>
        <w:t>Возможность работать с диспетчерским интерфейсом на любом современном смартфоне, в браузере с поддержкой HTML.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за одно действия пользователя (1 «клик» мыши) при анализе построенного отчета получить детальную информацию. Наличие в программном обеспечении системы быстрого поиска визуальной информации, подтверждающий отчет (интерактивность).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автоматический группировки при близком расположении транспортных средств на карте.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переключаться между стоянками в режиме отображения трека.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создания и использования диспетчером коридорных геозон (возможность на карте выделить участок дороги).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Возможность создания графических зон любой формы, группирования зон. Возможность настройки следующих параметров для зон: цвет, прозрачность, видимость. Возможность использовать название зоны вместо адреса. 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Отчет по данным от датчиков уровня топлива за период позволяет предоставлять следующую информацию: место, время и объем всех заправок и сливов, общий расход топлива за запрошенный период. Для каждого события (слив/заправка) возможность узнать объём топлива до и после события.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анализа нескольких треков одновременно (в том числе и раскрашивать их по скорости).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Возможность использования и редактирования топливных норм для оценки расхода по нормам. Ведение отдельных норм для зимнего или летнего сезона.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В программном обеспечении должен быть реализован функционал по точной настройке контроля топлива: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режим экспертной (точной) настройки параметров алгоритма определения заправок и сливов топлива, с помощью которого можно настроить алгоритм под любой тип датчиков уровня топлива и разных режимов эксплуатации техники;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наличие не менее 36 программных фильтров для настройки параметров алгоритма определения заправок и сливов топлива, с помощью которого можно настроить алгоритм под любой тип датчиков уровня топлива и разных режимов эксплуатации техники;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наличие графического отображения топливных событий до обработки алгоритмов определения заправок и сливов и после него;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наличие табличного вида отображения кандидатов на топливное событие (заправки и сливы), с интеллектуальной подсказкой номера фильтра, который исключает этот кандидат.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Программное обеспечение должно реализовывать функционал по контролю Безопасного Вождения: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наличие группового и детального отчетов по безопасности вождения, в котором каждому ТС или водителю присваивается рейтинговая оценка безопасности вождения по 100-бальной шкале, зависящая от пробега, длительности и критичности превышения скоростных режимов, показаний интеллектуального датчика стиля вождения, встроенного в модуль мониторинга (резких торможений и ускорений, вхождения в повороты на скорости), движения без использования ремней безопасности и фар ближнего света/ходовых огней. Возможность гибкой настройки влияния каждого фактора на итоговую оценку с возможностью сохранить различные комбинации настроек в шаблоны;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все отчеты должны быть представлены в виде документа формата А4, готового для вывода на печать или экспорта в популярные форматы файлов;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все отчеты по безопасности вождения должны предусматривать 2 варианта построения: по автомобилям или по водителям, с присвоением рейтинговой оценки по 100-бальной шкале соответственно водителю или автомобилю. Водитель или автомобиль, </w:t>
      </w:r>
      <w:r w:rsidRPr="0021205E">
        <w:lastRenderedPageBreak/>
        <w:t>которые не допустили ни одного нарушения требований безопасного вождения (нарушения скорости, резкие маневры) должны получать оценку – 100 баллов. При наличии нарушений, оценка должна уменьшаться, но не менее чем до нуля;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 построении группового или детального отчета по безопасности вождения с группировкой по транспортным средствам, для каждой строчки отчета (по 1 транспортному средству) должны перечисляться водители, управлявшие этим транспортным средством;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 построении группового или детального отчета по безопасности вождения с группировкой по водителям, для каждой строчки отчета (по 1 водителю) должны перечисляться транспортные средства, которыми управлял этот водитель;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 построении группового отчета по безопасности, должна быть предусмотрена опциональная возможность для каждого транспортного средства (водителя) указывать как общую статистику нарушений и оценку безопасности вождения, так и отдельно для каждого вида дорог (города, автомагистрали, между городами, парковки и т.д.);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групповой отчет должен представлять собой рейтинг водителей (или транспортных средств), где водители (транспортные средства) оказываются тем выше в таблице отчета, чем ниже их оценка;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 групповом отчете для каждого водителя (транспортного средства);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 клике на соответствующую ячейку группового отчета по безопасности вождения, должен автоматически открываться детальный отчет по безопасности вождения по соответствующим видам нарушений и транспортным средствам, водителю;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детальный отчет о нарушении правил безопасного вождения должен содержать перечисление всех интересующих нарушений с указанием их места (адреса и вида дороги) и времени, гистограмму скоростных режимов и итоговую статистику по каждому виду нарушений;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при клике на соответствующую строчку в детальном отчете, программное обеспечение должно отображать на карте соответствующий участок трека с возможностью отобразить график скорости, боковых и продольных ускорений и других датчиков; 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 отображении трека на карте, должна быть реализована возможность динамически менять три скоростных порога, в зависимости от которых должен автоматически меняться цвет соответствующего участка уже построенного трека.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Требования к серверному программному обеспечению: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прием данных от заданного количества модулей мониторинга, установленных на контролируемых транспортных средствах по протоколу TCP/IP;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проверка принятой информации на целостность, декодирование, сохранение в оперативной памяти и базе данных (БД);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ведение списка любого количества учетных записей диспетчеров системы;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выдача подключенным диспетчерам новой информации по «разрешенным» им терминалам в режиме реального времени (по мере поступления от оборудования);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возможность просмотра истории подключения пользователей;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возможность разграничивать возможности диспетчеров по созданию, изменению и удалению геозон;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определение общих прав доступа для целой категории учетных записей (к каким объектам мониторинга, геозонам и прочему разрешён доступ ряду диспетчеров);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серверное программное обеспечение должно иметь возможность принимать и обрабатывать в полном объеме телематические данные, согласно протоколу, соответствующему эксплуатируемым на предприятии Заказчика модулей мониторинга (протокол ScoutDATA);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интеграция с учетными и информационными системами с использованием системы программной интеграции;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lastRenderedPageBreak/>
        <w:t>возможность проведения самостоятельной разработки расширения функционала, поддерживаемого оборудования и отчетов с использованием плагинной системы.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>Требования к датчикам уровня топлива: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Назначение – передача показаний через цифровой интерфейс RS-485 (ScoutNet для терминалов МТ-</w:t>
      </w:r>
      <w:r w:rsidR="0095252E">
        <w:rPr>
          <w:color w:val="1F1F1F"/>
          <w:kern w:val="16"/>
        </w:rPr>
        <w:t>7хх</w:t>
      </w:r>
      <w:r w:rsidRPr="0021205E">
        <w:rPr>
          <w:color w:val="1F1F1F"/>
          <w:kern w:val="16"/>
        </w:rPr>
        <w:t>/</w:t>
      </w:r>
      <w:r w:rsidR="0095252E">
        <w:rPr>
          <w:color w:val="1F1F1F"/>
          <w:kern w:val="16"/>
        </w:rPr>
        <w:t>8хх</w:t>
      </w:r>
      <w:r w:rsidRPr="0021205E">
        <w:rPr>
          <w:color w:val="1F1F1F"/>
          <w:kern w:val="16"/>
        </w:rPr>
        <w:t xml:space="preserve">) и частотный интерфейс. 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Датчик уровня топлива должен выполнять следующие функции: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установка в топливный бак любого объема;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позволяет с высокой точностью определять заправки топлива, обнаруживать сливы и вычислять расход топлива.</w:t>
      </w:r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bookmarkStart w:id="1" w:name="bookmark2"/>
      <w:r w:rsidRPr="0021205E">
        <w:rPr>
          <w:color w:val="1F1F1F"/>
          <w:kern w:val="16"/>
        </w:rPr>
        <w:t xml:space="preserve"> Сведения о новизне</w:t>
      </w:r>
      <w:bookmarkEnd w:id="1"/>
      <w:r w:rsidRPr="0021205E">
        <w:rPr>
          <w:color w:val="1F1F1F"/>
          <w:kern w:val="16"/>
        </w:rPr>
        <w:t xml:space="preserve"> – поставляемое оборудование должно быть новым (не бывшим в употреблении, не восстановленным), не являться выставочными образцами, свободным от прав третьих лиц.</w:t>
      </w:r>
      <w:bookmarkStart w:id="2" w:name="bookmark6"/>
    </w:p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Область применения</w:t>
      </w:r>
      <w:bookmarkEnd w:id="2"/>
      <w:r w:rsidRPr="0021205E">
        <w:rPr>
          <w:color w:val="1F1F1F"/>
          <w:kern w:val="16"/>
        </w:rPr>
        <w:t xml:space="preserve"> – датчик уровня топлива предназначен для измерения уровня топлива в емкости или в топливном баке транспортного средства. Устройство должно подключаться к терминалу спутниковой системы слежения за мобильными объектами и передавать на него измеренное значение уровня топлива.</w:t>
      </w:r>
      <w:bookmarkStart w:id="3" w:name="bookmark8"/>
    </w:p>
    <w:bookmarkEnd w:id="3"/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>Технические характеристики датчика уровня топлива представлены в Таблице 1.</w:t>
      </w:r>
    </w:p>
    <w:p w:rsidR="00882AB4" w:rsidRPr="0021205E" w:rsidRDefault="00882AB4" w:rsidP="00882AB4">
      <w:pPr>
        <w:tabs>
          <w:tab w:val="left" w:pos="993"/>
        </w:tabs>
        <w:ind w:left="567"/>
        <w:jc w:val="right"/>
        <w:rPr>
          <w:color w:val="1F1F1F"/>
          <w:kern w:val="16"/>
        </w:rPr>
      </w:pPr>
    </w:p>
    <w:p w:rsidR="00882AB4" w:rsidRPr="0021205E" w:rsidRDefault="00882AB4" w:rsidP="00882AB4">
      <w:pPr>
        <w:tabs>
          <w:tab w:val="left" w:pos="993"/>
        </w:tabs>
        <w:ind w:left="567"/>
        <w:jc w:val="right"/>
        <w:rPr>
          <w:color w:val="1F1F1F"/>
          <w:kern w:val="16"/>
        </w:rPr>
      </w:pPr>
      <w:r w:rsidRPr="0021205E">
        <w:rPr>
          <w:color w:val="1F1F1F"/>
          <w:kern w:val="16"/>
        </w:rPr>
        <w:t>Таблица 1. Технические характеристики датчика уровня.</w:t>
      </w:r>
    </w:p>
    <w:tbl>
      <w:tblPr>
        <w:tblW w:w="963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pPr>
              <w:rPr>
                <w:b/>
              </w:rPr>
            </w:pPr>
            <w:r w:rsidRPr="0021205E">
              <w:rPr>
                <w:b/>
              </w:rPr>
              <w:t>Характеристика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pPr>
              <w:rPr>
                <w:b/>
              </w:rPr>
            </w:pPr>
            <w:r w:rsidRPr="0021205E">
              <w:rPr>
                <w:b/>
              </w:rPr>
              <w:t>Значение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Тип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цифровой, емкостной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</w:tcPr>
          <w:p w:rsidR="00882AB4" w:rsidRPr="0021205E" w:rsidRDefault="00882AB4" w:rsidP="00510B37">
            <w:r w:rsidRPr="0021205E">
              <w:t>Длина, не менее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</w:tcPr>
          <w:p w:rsidR="00882AB4" w:rsidRPr="0021205E" w:rsidRDefault="00882AB4" w:rsidP="00510B37">
            <w:r w:rsidRPr="0021205E">
              <w:t>700 мм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Напряжение питания, В 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7-50 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Ток потребления, мА 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15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Потребляемая мощность, Вт 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не более 0,4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Диапазон частоты на частотном выходе, Гц 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10...10000 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Диапазон рабочих температур, °С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от минус 40 до +85°С; 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Относительная влажность при температуре 25°С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30-80%</w:t>
            </w:r>
          </w:p>
        </w:tc>
      </w:tr>
      <w:tr w:rsidR="00882AB4" w:rsidRPr="0021205E" w:rsidTr="00510B37">
        <w:trPr>
          <w:trHeight w:val="442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Степень защиты корпуса от проникновения пыли и влаги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IP66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Погрешность измерения уровня, % 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не более ±1</w:t>
            </w:r>
          </w:p>
        </w:tc>
      </w:tr>
      <w:tr w:rsidR="00882AB4" w:rsidRPr="0021205E" w:rsidTr="00510B37">
        <w:trPr>
          <w:trHeight w:val="798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Абсолютная погрешность измерения температуры во всем диапазоне рабочих температур, °С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не более ±2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Диапазон измерения температур, °С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-40+85</w:t>
            </w:r>
          </w:p>
        </w:tc>
      </w:tr>
      <w:tr w:rsidR="00882AB4" w:rsidRPr="0021205E" w:rsidTr="00510B37">
        <w:trPr>
          <w:trHeight w:val="704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Интерфейсы выдачи измеренных значений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- частотный выход </w:t>
            </w:r>
            <w:r w:rsidRPr="0021205E">
              <w:br/>
              <w:t>- RS-485 (протокол ScoutNet, протокол LLS)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Скорость работы интерфейса RS485, только для протокола LLS, бит/с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1200, 2400, 4800, 9600, 19200, 38400, 57600, 115200</w:t>
            </w:r>
          </w:p>
        </w:tc>
      </w:tr>
      <w:tr w:rsidR="00882AB4" w:rsidRPr="0021205E" w:rsidTr="00510B37">
        <w:trPr>
          <w:trHeight w:val="524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Интервал автоматической выдачи данных, только для протокола LLS, с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от 1 до 255</w:t>
            </w:r>
          </w:p>
        </w:tc>
      </w:tr>
      <w:tr w:rsidR="00882AB4" w:rsidRPr="0021205E" w:rsidTr="00510B37">
        <w:trPr>
          <w:trHeight w:val="207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Встроенная защита от перенапряжения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длительностью до 400 мс и амплитудой до 200 вольт</w:t>
            </w:r>
          </w:p>
        </w:tc>
      </w:tr>
      <w:tr w:rsidR="00882AB4" w:rsidRPr="0021205E" w:rsidTr="00510B37">
        <w:trPr>
          <w:trHeight w:val="207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</w:tcPr>
          <w:p w:rsidR="00882AB4" w:rsidRPr="0021205E" w:rsidRDefault="00882AB4" w:rsidP="00510B37">
            <w:r w:rsidRPr="0021205E">
              <w:lastRenderedPageBreak/>
              <w:t>Гальваническая развязка между цепями источника питания, линиями последовательных интерфейсов RS-485 и измерительной частью, включающей цепи корпуса и стержень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</w:tcPr>
          <w:p w:rsidR="00882AB4" w:rsidRPr="0021205E" w:rsidRDefault="00882AB4" w:rsidP="00510B37">
            <w:r w:rsidRPr="0021205E">
              <w:t>есть</w:t>
            </w:r>
          </w:p>
        </w:tc>
      </w:tr>
      <w:tr w:rsidR="00882AB4" w:rsidRPr="0021205E" w:rsidTr="00510B37">
        <w:trPr>
          <w:trHeight w:val="207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</w:tcPr>
          <w:p w:rsidR="00882AB4" w:rsidRPr="0021205E" w:rsidRDefault="00882AB4" w:rsidP="00510B37">
            <w:r w:rsidRPr="0021205E">
              <w:t>Электрическая прочность изоляции между гальванически развязанными цепями (в течении 1 мин.), В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</w:tcPr>
          <w:p w:rsidR="00882AB4" w:rsidRPr="0021205E" w:rsidRDefault="00882AB4" w:rsidP="00510B37">
            <w:r w:rsidRPr="0021205E">
              <w:t xml:space="preserve">2500 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Встроенная схема защиты питания, В</w:t>
            </w:r>
          </w:p>
          <w:p w:rsidR="00882AB4" w:rsidRPr="0021205E" w:rsidRDefault="00882AB4" w:rsidP="00510B37">
            <w:r w:rsidRPr="0021205E">
              <w:t>(при длительном повышении напряжения в бортовой сети)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 xml:space="preserve">до 50 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Контроль работоспособности внутренних цепей электронной схемы с целью самодиагностики, уведомление об ошибках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имеет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Удаленная смена встроенного программного обеспечения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имеет</w:t>
            </w:r>
          </w:p>
        </w:tc>
      </w:tr>
      <w:tr w:rsidR="00882AB4" w:rsidRPr="0021205E" w:rsidTr="00510B37"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Совместимость с программным обеспечением «СКАУТ-Конфигуратор»</w:t>
            </w:r>
          </w:p>
        </w:tc>
        <w:tc>
          <w:tcPr>
            <w:tcW w:w="3969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имеет</w:t>
            </w:r>
          </w:p>
        </w:tc>
      </w:tr>
      <w:tr w:rsidR="00882AB4" w:rsidRPr="0021205E" w:rsidTr="00510B37">
        <w:trPr>
          <w:trHeight w:val="250"/>
        </w:trPr>
        <w:tc>
          <w:tcPr>
            <w:tcW w:w="5670" w:type="dxa"/>
            <w:shd w:val="clear" w:color="auto" w:fill="FFFFFF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:rsidR="00882AB4" w:rsidRPr="0021205E" w:rsidRDefault="00882AB4" w:rsidP="00510B37">
            <w:r w:rsidRPr="0021205E">
              <w:t>Срок службы</w:t>
            </w:r>
          </w:p>
        </w:tc>
        <w:tc>
          <w:tcPr>
            <w:tcW w:w="3969" w:type="dxa"/>
            <w:shd w:val="clear" w:color="auto" w:fill="FFFFFF"/>
            <w:vAlign w:val="center"/>
            <w:hideMark/>
          </w:tcPr>
          <w:p w:rsidR="00882AB4" w:rsidRPr="0021205E" w:rsidRDefault="00882AB4" w:rsidP="00510B37">
            <w:r w:rsidRPr="0021205E">
              <w:t xml:space="preserve"> 8 лет</w:t>
            </w:r>
          </w:p>
        </w:tc>
      </w:tr>
    </w:tbl>
    <w:p w:rsidR="00882AB4" w:rsidRPr="0021205E" w:rsidRDefault="00882AB4" w:rsidP="00882AB4"/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Датчик уровня топлива должен полностью взаимодействовать со спутниковой системой слежения за мобильными объектами, удовлетворяющей приказу Министерства транспорта Российской Федерации от 31.07.2012 № 285 «Об утверждении требований к средствам навигации, функционирующим с использованием навигационных сигналов системы ГЛОНАСС или ГЛОНАСС/GPS и предназначенным для обязательного оснащения транспортных средств категории М, используемых для коммерческих перевозок пассажиров, и категории N, используемых для перевозки опасных грузов».</w:t>
      </w:r>
      <w:bookmarkStart w:id="4" w:name="bookmark10"/>
    </w:p>
    <w:bookmarkEnd w:id="4"/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 комплект поставки должны входить: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датчик уровня топлива;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монтажный кабель в пластиковом гофрированном рукаве;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комплект монтажных частей;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предохранитель;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индикационная пломба защелка;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проволока для пломбирования, 45 см;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термоусадочная трубка для пломбирования разъема датчика уровня топлива;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паспорт датчика уровня топлива;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руководство по эксплуатации (допускается одно на партию).</w:t>
      </w:r>
      <w:bookmarkStart w:id="5" w:name="bookmark11"/>
    </w:p>
    <w:bookmarkEnd w:id="5"/>
    <w:p w:rsidR="00882AB4" w:rsidRPr="0021205E" w:rsidRDefault="00882AB4" w:rsidP="00882AB4">
      <w:pPr>
        <w:numPr>
          <w:ilvl w:val="1"/>
          <w:numId w:val="1"/>
        </w:numPr>
        <w:tabs>
          <w:tab w:val="left" w:pos="993"/>
        </w:tabs>
        <w:suppressAutoHyphens/>
        <w:ind w:left="0" w:firstLine="567"/>
        <w:rPr>
          <w:color w:val="1F1F1F"/>
          <w:kern w:val="16"/>
        </w:rPr>
      </w:pPr>
      <w:r w:rsidRPr="0021205E">
        <w:rPr>
          <w:color w:val="1F1F1F"/>
          <w:kern w:val="16"/>
        </w:rPr>
        <w:t xml:space="preserve"> Все надписи и маркировка сборных комплектов системы должны быть четкими, нанесены несмываемой краской или выполнены в виде выпуклого штампа, чтобы их можно было легко идентифицировать. Маркировка оборудования должна содержать следующие данные: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марка, класс (маркировка);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фирменное наименование и другая идентификация производителя;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серийный номер;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схема подключения/распиновка разъемов;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наименования производителя/страна происхождения.</w:t>
      </w:r>
    </w:p>
    <w:p w:rsidR="00882AB4" w:rsidRPr="0021205E" w:rsidRDefault="00882AB4" w:rsidP="00882AB4">
      <w:pPr>
        <w:pStyle w:val="ab"/>
        <w:numPr>
          <w:ilvl w:val="0"/>
          <w:numId w:val="1"/>
        </w:numPr>
        <w:rPr>
          <w:b/>
        </w:rPr>
      </w:pPr>
      <w:r w:rsidRPr="0021205E">
        <w:rPr>
          <w:b/>
        </w:rPr>
        <w:t>Гарантийные обязательства Подрядчика: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 xml:space="preserve">гарантия на оборудование, поставляемое Подрядчиком должна составлять не менее 60-ти месяцев от даты ввода его в эксплуатацию. Гарантия на работу Подрядчика по </w:t>
      </w:r>
      <w:r w:rsidRPr="0021205E">
        <w:lastRenderedPageBreak/>
        <w:t xml:space="preserve">оснащению системой </w:t>
      </w:r>
      <w:r w:rsidR="00173022">
        <w:t>мониторинга</w:t>
      </w:r>
      <w:r w:rsidRPr="0021205E">
        <w:t xml:space="preserve"> должна составлять не менее 12-ти месяцев от даты ввода оборудования в эксплуатацию. Время начала исчисления гарантийного срока начинается с момента ввода системы </w:t>
      </w:r>
      <w:r w:rsidR="00173022">
        <w:t>мониторинга</w:t>
      </w:r>
      <w:r w:rsidRPr="0021205E">
        <w:t xml:space="preserve"> в эксплуатацию. В случае обнаружения любых дефектов в период гарантийного срока эксплуатации системы </w:t>
      </w:r>
      <w:r w:rsidR="00173022">
        <w:t>мониторинга</w:t>
      </w:r>
      <w:r w:rsidRPr="0021205E">
        <w:t xml:space="preserve"> Подрядчик обязан не позднее 10 дней со дня получения письменного извещения Заказчика направить своего представителя для участия в составлении акта-рекламации и за свой счет устранить обнаруженные дефекты в срок, согласованный с Заказчиком. Гарантийный срок в этом случае продлевается соответственно на период устранения дефектов;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ремонт неисправностей, вызванных несоблюдением условий эксплуатации, а также после гарантийного срока эксплуатации, должен осуществляться изготовителем на договорной основе.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 xml:space="preserve"> Приемка выполненных работ: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 xml:space="preserve"> Дополнительные условия: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установка оборудования будет производиться на автомобильную технику, находящуюся в эксплуатации, вследствие чего, «Подрядчику» необходимо проводить согласованные действия и мероприятия по охране труда согласно требованиям Межотраслевых правил по охране труда на автомобильном транспорте ПОТ РМ-027-2003, пожарной безопасности и по времени работы с автотранспортными средствами;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  <w:rPr>
          <w:b/>
        </w:rPr>
      </w:pPr>
      <w:r w:rsidRPr="0021205E">
        <w:rPr>
          <w:b/>
        </w:rPr>
        <w:t> Определение стоимости и сметная документация:</w:t>
      </w:r>
    </w:p>
    <w:p w:rsidR="00882AB4" w:rsidRPr="0021205E" w:rsidRDefault="00882AB4" w:rsidP="00882AB4">
      <w:pPr>
        <w:numPr>
          <w:ilvl w:val="0"/>
          <w:numId w:val="2"/>
        </w:numPr>
        <w:tabs>
          <w:tab w:val="left" w:pos="851"/>
        </w:tabs>
        <w:suppressAutoHyphens/>
        <w:ind w:left="0" w:firstLine="567"/>
      </w:pPr>
      <w:r w:rsidRPr="0021205E">
        <w:t>стоимость должна быть указана с учетом транспортных и командировочных расходов и включать все налоги, обязательные платежи и скидки.</w:t>
      </w:r>
    </w:p>
    <w:p w:rsidR="00882AB4" w:rsidRPr="0021205E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</w:pPr>
      <w:r w:rsidRPr="0021205E">
        <w:rPr>
          <w:b/>
        </w:rPr>
        <w:t>Заказчик:</w:t>
      </w:r>
      <w:r w:rsidRPr="0021205E">
        <w:t xml:space="preserve"> Филиал АО «ДРСК» «Приморские электрические сети».</w:t>
      </w:r>
    </w:p>
    <w:p w:rsidR="00882AB4" w:rsidRDefault="00882AB4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</w:pPr>
      <w:r w:rsidRPr="0021205E">
        <w:rPr>
          <w:b/>
        </w:rPr>
        <w:t>Срок выполнения работ:</w:t>
      </w:r>
      <w:r w:rsidRPr="0021205E">
        <w:t xml:space="preserve"> до </w:t>
      </w:r>
      <w:r w:rsidR="0095252E" w:rsidRPr="0095252E">
        <w:t>31</w:t>
      </w:r>
      <w:r w:rsidRPr="0021205E">
        <w:t xml:space="preserve"> </w:t>
      </w:r>
      <w:r w:rsidR="0095252E">
        <w:t>декабря</w:t>
      </w:r>
      <w:r w:rsidRPr="0021205E">
        <w:t xml:space="preserve"> 202</w:t>
      </w:r>
      <w:r w:rsidR="0095252E">
        <w:t>2</w:t>
      </w:r>
      <w:r w:rsidRPr="0021205E">
        <w:t xml:space="preserve"> года.</w:t>
      </w:r>
    </w:p>
    <w:p w:rsidR="00E86EE1" w:rsidRDefault="00E86EE1" w:rsidP="00882AB4">
      <w:pPr>
        <w:numPr>
          <w:ilvl w:val="0"/>
          <w:numId w:val="1"/>
        </w:numPr>
        <w:tabs>
          <w:tab w:val="left" w:pos="426"/>
        </w:tabs>
        <w:suppressAutoHyphens/>
        <w:ind w:left="426"/>
      </w:pPr>
      <w:r>
        <w:rPr>
          <w:b/>
        </w:rPr>
        <w:t>Места проведения работ:</w:t>
      </w:r>
      <w:r>
        <w:t xml:space="preserve"> г. Владивосток, г. Уссурийск, г. Партизанск, г. Кавалерово, г. Лесозаводск, г. Дальнереченск, г. Лучегорск. </w:t>
      </w:r>
    </w:p>
    <w:p w:rsidR="008A1007" w:rsidRDefault="008A1007" w:rsidP="008A1007">
      <w:pPr>
        <w:tabs>
          <w:tab w:val="left" w:pos="426"/>
        </w:tabs>
        <w:suppressAutoHyphens/>
        <w:ind w:left="426"/>
        <w:rPr>
          <w:b/>
        </w:rPr>
      </w:pPr>
    </w:p>
    <w:p w:rsidR="008A1007" w:rsidRDefault="008A1007" w:rsidP="008A1007">
      <w:pPr>
        <w:tabs>
          <w:tab w:val="left" w:pos="426"/>
        </w:tabs>
        <w:suppressAutoHyphens/>
        <w:ind w:left="426"/>
        <w:rPr>
          <w:b/>
        </w:rPr>
      </w:pPr>
    </w:p>
    <w:p w:rsidR="008A1007" w:rsidRPr="0021205E" w:rsidRDefault="008A1007" w:rsidP="008A1007">
      <w:pPr>
        <w:tabs>
          <w:tab w:val="left" w:pos="426"/>
        </w:tabs>
        <w:suppressAutoHyphens/>
        <w:ind w:left="426"/>
      </w:pPr>
      <w:r>
        <w:rPr>
          <w:b/>
        </w:rPr>
        <w:t xml:space="preserve">Начальник СМиТ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Сергиенко А.А.</w:t>
      </w:r>
    </w:p>
    <w:sectPr w:rsidR="008A1007" w:rsidRPr="0021205E" w:rsidSect="008A1007">
      <w:pgSz w:w="11906" w:h="16838"/>
      <w:pgMar w:top="709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B06" w:rsidRDefault="00E30B06" w:rsidP="00C22786">
      <w:r>
        <w:separator/>
      </w:r>
    </w:p>
  </w:endnote>
  <w:endnote w:type="continuationSeparator" w:id="0">
    <w:p w:rsidR="00E30B06" w:rsidRDefault="00E30B06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B06" w:rsidRDefault="00E30B06" w:rsidP="00C22786">
      <w:r>
        <w:separator/>
      </w:r>
    </w:p>
  </w:footnote>
  <w:footnote w:type="continuationSeparator" w:id="0">
    <w:p w:rsidR="00E30B06" w:rsidRDefault="00E30B06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826"/>
    <w:multiLevelType w:val="hybridMultilevel"/>
    <w:tmpl w:val="5150DB54"/>
    <w:lvl w:ilvl="0" w:tplc="85B267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392DD9"/>
    <w:multiLevelType w:val="multilevel"/>
    <w:tmpl w:val="707E337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81D3F"/>
    <w:rsid w:val="000A32E6"/>
    <w:rsid w:val="00127A69"/>
    <w:rsid w:val="0017172E"/>
    <w:rsid w:val="00173022"/>
    <w:rsid w:val="00174FCA"/>
    <w:rsid w:val="001972E5"/>
    <w:rsid w:val="001B310A"/>
    <w:rsid w:val="001D33CE"/>
    <w:rsid w:val="001E5F83"/>
    <w:rsid w:val="001E6E75"/>
    <w:rsid w:val="001F03DD"/>
    <w:rsid w:val="001F20B8"/>
    <w:rsid w:val="00202A35"/>
    <w:rsid w:val="00280B0C"/>
    <w:rsid w:val="002D33FD"/>
    <w:rsid w:val="002E39D1"/>
    <w:rsid w:val="00330770"/>
    <w:rsid w:val="00331832"/>
    <w:rsid w:val="0033445A"/>
    <w:rsid w:val="003834CD"/>
    <w:rsid w:val="003D79DE"/>
    <w:rsid w:val="003E3EFF"/>
    <w:rsid w:val="0048448B"/>
    <w:rsid w:val="004D349A"/>
    <w:rsid w:val="005150F1"/>
    <w:rsid w:val="00527954"/>
    <w:rsid w:val="005415EF"/>
    <w:rsid w:val="005540B3"/>
    <w:rsid w:val="00595280"/>
    <w:rsid w:val="005B0386"/>
    <w:rsid w:val="005C5476"/>
    <w:rsid w:val="005D5996"/>
    <w:rsid w:val="00610512"/>
    <w:rsid w:val="006504F2"/>
    <w:rsid w:val="006727FA"/>
    <w:rsid w:val="006A7F2C"/>
    <w:rsid w:val="006B3460"/>
    <w:rsid w:val="006E03A5"/>
    <w:rsid w:val="006E0F31"/>
    <w:rsid w:val="00726342"/>
    <w:rsid w:val="007422A4"/>
    <w:rsid w:val="00777ADA"/>
    <w:rsid w:val="007C7B3C"/>
    <w:rsid w:val="007D3DAC"/>
    <w:rsid w:val="007F72A6"/>
    <w:rsid w:val="00882AB4"/>
    <w:rsid w:val="00895101"/>
    <w:rsid w:val="008A1007"/>
    <w:rsid w:val="008B2D11"/>
    <w:rsid w:val="008B4E3A"/>
    <w:rsid w:val="008B5BE8"/>
    <w:rsid w:val="008C57A1"/>
    <w:rsid w:val="008D7C98"/>
    <w:rsid w:val="008F3FD8"/>
    <w:rsid w:val="009137F4"/>
    <w:rsid w:val="009204BA"/>
    <w:rsid w:val="0093680E"/>
    <w:rsid w:val="0095252E"/>
    <w:rsid w:val="00965140"/>
    <w:rsid w:val="009929B7"/>
    <w:rsid w:val="009A16E3"/>
    <w:rsid w:val="00A14FDF"/>
    <w:rsid w:val="00A2606D"/>
    <w:rsid w:val="00A31FD7"/>
    <w:rsid w:val="00A36861"/>
    <w:rsid w:val="00A53004"/>
    <w:rsid w:val="00A64ED8"/>
    <w:rsid w:val="00A65028"/>
    <w:rsid w:val="00A740E8"/>
    <w:rsid w:val="00A87374"/>
    <w:rsid w:val="00AA108C"/>
    <w:rsid w:val="00AA41F2"/>
    <w:rsid w:val="00AC320B"/>
    <w:rsid w:val="00AF59A7"/>
    <w:rsid w:val="00B15AAD"/>
    <w:rsid w:val="00B23238"/>
    <w:rsid w:val="00B35131"/>
    <w:rsid w:val="00B531F3"/>
    <w:rsid w:val="00B60BE5"/>
    <w:rsid w:val="00B62015"/>
    <w:rsid w:val="00B85FAE"/>
    <w:rsid w:val="00BA557D"/>
    <w:rsid w:val="00BE51A8"/>
    <w:rsid w:val="00BE5AB9"/>
    <w:rsid w:val="00BF4E9B"/>
    <w:rsid w:val="00C059F6"/>
    <w:rsid w:val="00C22786"/>
    <w:rsid w:val="00C43168"/>
    <w:rsid w:val="00C65999"/>
    <w:rsid w:val="00CA0C81"/>
    <w:rsid w:val="00CD5BE4"/>
    <w:rsid w:val="00CE1896"/>
    <w:rsid w:val="00CE625D"/>
    <w:rsid w:val="00D06D10"/>
    <w:rsid w:val="00D1179E"/>
    <w:rsid w:val="00D54A3E"/>
    <w:rsid w:val="00DA4ADA"/>
    <w:rsid w:val="00DC207E"/>
    <w:rsid w:val="00E0798C"/>
    <w:rsid w:val="00E12839"/>
    <w:rsid w:val="00E30B06"/>
    <w:rsid w:val="00E628F7"/>
    <w:rsid w:val="00E71D9C"/>
    <w:rsid w:val="00E8100E"/>
    <w:rsid w:val="00E86EE1"/>
    <w:rsid w:val="00EA2921"/>
    <w:rsid w:val="00EC67EF"/>
    <w:rsid w:val="00ED6F65"/>
    <w:rsid w:val="00F171D5"/>
    <w:rsid w:val="00F30EFB"/>
    <w:rsid w:val="00F50A5A"/>
    <w:rsid w:val="00F51B38"/>
    <w:rsid w:val="00F71613"/>
    <w:rsid w:val="00F774B3"/>
    <w:rsid w:val="00FD091F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C659"/>
  <w15:docId w15:val="{9408CB98-A595-4F66-9AAF-DAE78C53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b">
    <w:name w:val="List Paragraph"/>
    <w:aliases w:val="Абзац списка4,Маркер,Table-Normal,RSHB_Table-Normal,Заголовок_3,Подпись рисунка"/>
    <w:basedOn w:val="a"/>
    <w:link w:val="ac"/>
    <w:qFormat/>
    <w:rsid w:val="00882AB4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ac">
    <w:name w:val="Абзац списка Знак"/>
    <w:aliases w:val="Абзац списка4 Знак,Маркер Знак,Table-Normal Знак,RSHB_Table-Normal Знак,Заголовок_3 Знак,Подпись рисунка Знак"/>
    <w:link w:val="ab"/>
    <w:locked/>
    <w:rsid w:val="00882A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prim.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3591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Светлана Анатольевна</dc:creator>
  <cp:lastModifiedBy>Сергиенко Александр Александрович</cp:lastModifiedBy>
  <cp:revision>4</cp:revision>
  <cp:lastPrinted>2019-10-16T05:58:00Z</cp:lastPrinted>
  <dcterms:created xsi:type="dcterms:W3CDTF">2021-12-27T02:02:00Z</dcterms:created>
  <dcterms:modified xsi:type="dcterms:W3CDTF">2021-12-27T02:58:00Z</dcterms:modified>
</cp:coreProperties>
</file>